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3071" w14:textId="77777777" w:rsidR="0043597A" w:rsidRPr="004E33D9" w:rsidRDefault="0043597A" w:rsidP="001A0965">
      <w:pPr>
        <w:pStyle w:val="Heading1"/>
        <w:spacing w:after="240"/>
        <w:rPr>
          <w:rFonts w:cs="Times"/>
        </w:rPr>
      </w:pPr>
      <w:r w:rsidRPr="004E33D9">
        <w:t xml:space="preserve">Case Study: </w:t>
      </w:r>
      <w:r>
        <w:t>Hurricane Katrina</w:t>
      </w:r>
    </w:p>
    <w:p w14:paraId="644CBF1E" w14:textId="34BCD59A" w:rsidR="00477027" w:rsidRDefault="0043597A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On August 29th</w:t>
      </w:r>
      <w:r w:rsidRPr="0043597A">
        <w:rPr>
          <w:rFonts w:asciiTheme="majorHAnsi" w:hAnsiTheme="majorHAnsi" w:cs="Times New Roman"/>
          <w:sz w:val="22"/>
          <w:szCs w:val="22"/>
        </w:rPr>
        <w:t xml:space="preserve"> 2005, </w:t>
      </w:r>
      <w:r>
        <w:rPr>
          <w:rFonts w:asciiTheme="majorHAnsi" w:hAnsiTheme="majorHAnsi" w:cs="Times New Roman"/>
          <w:sz w:val="22"/>
          <w:szCs w:val="22"/>
        </w:rPr>
        <w:t>the sixth-strongest storm in the history of the Atlantic seaboard</w:t>
      </w:r>
      <w:r w:rsidRPr="0043597A">
        <w:rPr>
          <w:rFonts w:asciiTheme="majorHAnsi" w:hAnsiTheme="majorHAnsi" w:cs="Times New Roman"/>
          <w:sz w:val="22"/>
          <w:szCs w:val="22"/>
        </w:rPr>
        <w:t xml:space="preserve"> made landfall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Pr="0043597A">
        <w:rPr>
          <w:rFonts w:asciiTheme="majorHAnsi" w:hAnsiTheme="majorHAnsi" w:cs="Times New Roman"/>
          <w:sz w:val="22"/>
          <w:szCs w:val="22"/>
        </w:rPr>
        <w:t>in the Gulf Region.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Pr="0043597A">
        <w:rPr>
          <w:rFonts w:asciiTheme="majorHAnsi" w:hAnsiTheme="majorHAnsi" w:cs="Times New Roman"/>
          <w:sz w:val="22"/>
          <w:szCs w:val="22"/>
        </w:rPr>
        <w:t>Storm surges affected more than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Pr="0043597A">
        <w:rPr>
          <w:rFonts w:asciiTheme="majorHAnsi" w:hAnsiTheme="majorHAnsi" w:cs="Times New Roman"/>
          <w:sz w:val="22"/>
          <w:szCs w:val="22"/>
        </w:rPr>
        <w:t>200 miles of the Region’s coastline</w:t>
      </w:r>
      <w:r>
        <w:rPr>
          <w:rFonts w:asciiTheme="majorHAnsi" w:hAnsiTheme="majorHAnsi" w:cs="Times New Roman"/>
          <w:sz w:val="22"/>
          <w:szCs w:val="22"/>
        </w:rPr>
        <w:t xml:space="preserve"> and </w:t>
      </w:r>
      <w:r w:rsidRPr="0043597A">
        <w:rPr>
          <w:rFonts w:asciiTheme="majorHAnsi" w:hAnsiTheme="majorHAnsi" w:cs="Times New Roman"/>
          <w:sz w:val="22"/>
          <w:szCs w:val="22"/>
        </w:rPr>
        <w:t>over one million U.S. citizens</w:t>
      </w:r>
      <w:r>
        <w:rPr>
          <w:rFonts w:asciiTheme="majorHAnsi" w:hAnsiTheme="majorHAnsi" w:cs="Times New Roman"/>
          <w:sz w:val="22"/>
          <w:szCs w:val="22"/>
        </w:rPr>
        <w:t xml:space="preserve"> were displaced</w:t>
      </w:r>
      <w:r w:rsidRPr="0043597A">
        <w:rPr>
          <w:rFonts w:asciiTheme="majorHAnsi" w:hAnsiTheme="majorHAnsi" w:cs="Times New Roman"/>
          <w:sz w:val="22"/>
          <w:szCs w:val="22"/>
        </w:rPr>
        <w:t>.</w:t>
      </w:r>
      <w:r w:rsidR="00825336">
        <w:rPr>
          <w:rFonts w:asciiTheme="majorHAnsi" w:hAnsiTheme="majorHAnsi" w:cs="Times New Roman"/>
          <w:sz w:val="22"/>
          <w:szCs w:val="22"/>
        </w:rPr>
        <w:t xml:space="preserve"> The greatest concentration of damage </w:t>
      </w:r>
      <w:r w:rsidR="001A0965">
        <w:rPr>
          <w:rFonts w:asciiTheme="majorHAnsi" w:hAnsiTheme="majorHAnsi" w:cs="Times New Roman"/>
          <w:sz w:val="22"/>
          <w:szCs w:val="22"/>
        </w:rPr>
        <w:t xml:space="preserve">occurred in New Orleans where </w:t>
      </w:r>
      <w:r w:rsidR="00825336">
        <w:rPr>
          <w:rFonts w:asciiTheme="majorHAnsi" w:hAnsiTheme="majorHAnsi" w:cs="Times New Roman"/>
          <w:sz w:val="22"/>
          <w:szCs w:val="22"/>
        </w:rPr>
        <w:t>levee breach</w:t>
      </w:r>
      <w:r w:rsidR="001A0965">
        <w:rPr>
          <w:rFonts w:asciiTheme="majorHAnsi" w:hAnsiTheme="majorHAnsi" w:cs="Times New Roman"/>
          <w:sz w:val="22"/>
          <w:szCs w:val="22"/>
        </w:rPr>
        <w:t>es</w:t>
      </w:r>
      <w:r w:rsidR="00825336">
        <w:rPr>
          <w:rFonts w:asciiTheme="majorHAnsi" w:hAnsiTheme="majorHAnsi" w:cs="Times New Roman"/>
          <w:sz w:val="22"/>
          <w:szCs w:val="22"/>
        </w:rPr>
        <w:t xml:space="preserve"> </w:t>
      </w:r>
      <w:r w:rsidR="001A0965">
        <w:rPr>
          <w:rFonts w:asciiTheme="majorHAnsi" w:hAnsiTheme="majorHAnsi" w:cs="Times New Roman"/>
          <w:sz w:val="22"/>
          <w:szCs w:val="22"/>
        </w:rPr>
        <w:t xml:space="preserve">resulted in the flooding of significant section of a large, populous city. </w:t>
      </w:r>
      <w:r w:rsidR="00477027">
        <w:rPr>
          <w:rFonts w:asciiTheme="majorHAnsi" w:hAnsiTheme="majorHAnsi" w:cs="Times New Roman"/>
          <w:sz w:val="22"/>
          <w:szCs w:val="22"/>
        </w:rPr>
        <w:t>Exacerbating this, extreme poverty was a major issue for New Orleans</w:t>
      </w:r>
      <w:r w:rsidR="00D23C72">
        <w:rPr>
          <w:rFonts w:asciiTheme="majorHAnsi" w:hAnsiTheme="majorHAnsi" w:cs="Times New Roman"/>
          <w:sz w:val="22"/>
          <w:szCs w:val="22"/>
        </w:rPr>
        <w:t xml:space="preserve"> already</w:t>
      </w:r>
      <w:r w:rsidR="00477027">
        <w:rPr>
          <w:rFonts w:asciiTheme="majorHAnsi" w:hAnsiTheme="majorHAnsi" w:cs="Times New Roman"/>
          <w:sz w:val="22"/>
          <w:szCs w:val="22"/>
        </w:rPr>
        <w:t xml:space="preserve">. In the 2000 Census data, New Orleans </w:t>
      </w:r>
      <w:r w:rsidR="001A0965">
        <w:rPr>
          <w:rFonts w:asciiTheme="majorHAnsi" w:hAnsiTheme="majorHAnsi" w:cs="Times New Roman"/>
          <w:sz w:val="22"/>
          <w:szCs w:val="22"/>
        </w:rPr>
        <w:t xml:space="preserve">ranked </w:t>
      </w:r>
      <w:r w:rsidR="00477027">
        <w:rPr>
          <w:rFonts w:asciiTheme="majorHAnsi" w:hAnsiTheme="majorHAnsi" w:cs="Times New Roman"/>
          <w:sz w:val="22"/>
          <w:szCs w:val="22"/>
        </w:rPr>
        <w:t>second among the nation’s largest 50 cities</w:t>
      </w:r>
      <w:r w:rsidR="001A0965">
        <w:rPr>
          <w:rFonts w:asciiTheme="majorHAnsi" w:hAnsiTheme="majorHAnsi" w:cs="Times New Roman"/>
          <w:sz w:val="22"/>
          <w:szCs w:val="22"/>
        </w:rPr>
        <w:t xml:space="preserve"> for the number of neighborhoods characterized by</w:t>
      </w:r>
      <w:r w:rsidR="00477027">
        <w:rPr>
          <w:rFonts w:asciiTheme="majorHAnsi" w:hAnsiTheme="majorHAnsi" w:cs="Times New Roman"/>
          <w:sz w:val="22"/>
          <w:szCs w:val="22"/>
        </w:rPr>
        <w:t xml:space="preserve"> </w:t>
      </w:r>
      <w:r w:rsidR="001A0965">
        <w:rPr>
          <w:rFonts w:asciiTheme="majorHAnsi" w:hAnsiTheme="majorHAnsi" w:cs="Times New Roman"/>
          <w:sz w:val="22"/>
          <w:szCs w:val="22"/>
        </w:rPr>
        <w:t>extreme poverty conditions.</w:t>
      </w:r>
    </w:p>
    <w:p w14:paraId="735FB30E" w14:textId="7D970E58" w:rsidR="00825336" w:rsidRDefault="00477027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 xml:space="preserve">Poverty and race </w:t>
      </w:r>
      <w:r w:rsidR="00F43B9D">
        <w:rPr>
          <w:rFonts w:asciiTheme="majorHAnsi" w:hAnsiTheme="majorHAnsi" w:cs="Times New Roman"/>
          <w:sz w:val="22"/>
          <w:szCs w:val="22"/>
        </w:rPr>
        <w:t>were</w:t>
      </w:r>
      <w:r w:rsidR="00D55D60">
        <w:rPr>
          <w:rFonts w:asciiTheme="majorHAnsi" w:hAnsiTheme="majorHAnsi" w:cs="Times New Roman"/>
          <w:sz w:val="22"/>
          <w:szCs w:val="22"/>
        </w:rPr>
        <w:t xml:space="preserve"> very much intertwined in New Orleans</w:t>
      </w:r>
      <w:r w:rsidR="001A0965">
        <w:rPr>
          <w:rFonts w:asciiTheme="majorHAnsi" w:hAnsiTheme="majorHAnsi" w:cs="Times New Roman"/>
          <w:sz w:val="22"/>
          <w:szCs w:val="22"/>
        </w:rPr>
        <w:t>,</w:t>
      </w:r>
      <w:r w:rsidR="00D55D60">
        <w:rPr>
          <w:rFonts w:asciiTheme="majorHAnsi" w:hAnsiTheme="majorHAnsi" w:cs="Times New Roman"/>
          <w:sz w:val="22"/>
          <w:szCs w:val="22"/>
        </w:rPr>
        <w:t xml:space="preserve"> where African Americans were most likely to have an income below the poverty level. In 2000, </w:t>
      </w:r>
      <w:r w:rsidR="00D23C72">
        <w:rPr>
          <w:rFonts w:asciiTheme="majorHAnsi" w:hAnsiTheme="majorHAnsi" w:cs="Times New Roman"/>
          <w:sz w:val="22"/>
          <w:szCs w:val="22"/>
        </w:rPr>
        <w:t>67 percent of New Orleans’ resi</w:t>
      </w:r>
      <w:r w:rsidR="00D55D60">
        <w:rPr>
          <w:rFonts w:asciiTheme="majorHAnsi" w:hAnsiTheme="majorHAnsi" w:cs="Times New Roman"/>
          <w:sz w:val="22"/>
          <w:szCs w:val="22"/>
        </w:rPr>
        <w:t>dents were African American and 84 percent of those under the poverty line were African Americans</w:t>
      </w:r>
      <w:r w:rsidR="001003C7">
        <w:rPr>
          <w:rFonts w:asciiTheme="majorHAnsi" w:hAnsiTheme="majorHAnsi" w:cs="Times New Roman"/>
          <w:sz w:val="22"/>
          <w:szCs w:val="22"/>
        </w:rPr>
        <w:t>. Overall, minorities and poor people bore the brunt of devastation when Hurricane Katrina hit.</w:t>
      </w:r>
    </w:p>
    <w:p w14:paraId="3DD1394A" w14:textId="0A3D6B92" w:rsidR="00F43B9D" w:rsidRDefault="00D23C72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Historically,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 close trading relationship betw</w:t>
      </w:r>
      <w:r>
        <w:rPr>
          <w:rFonts w:asciiTheme="majorHAnsi" w:hAnsiTheme="majorHAnsi" w:cs="Times New Roman"/>
          <w:sz w:val="22"/>
          <w:szCs w:val="22"/>
        </w:rPr>
        <w:t>een the Standard Fruit Company in New Orleans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 and banana growers in Honduras</w:t>
      </w:r>
      <w:r w:rsidR="00F43B9D">
        <w:rPr>
          <w:rFonts w:asciiTheme="majorHAnsi" w:hAnsiTheme="majorHAnsi" w:cs="Times New Roman"/>
          <w:sz w:val="22"/>
          <w:szCs w:val="22"/>
        </w:rPr>
        <w:t xml:space="preserve"> have created a</w:t>
      </w:r>
      <w:r>
        <w:rPr>
          <w:rFonts w:asciiTheme="majorHAnsi" w:hAnsiTheme="majorHAnsi" w:cs="Times New Roman"/>
          <w:sz w:val="22"/>
          <w:szCs w:val="22"/>
        </w:rPr>
        <w:t xml:space="preserve"> continuous flow of Honduras migrants into the city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. </w:t>
      </w:r>
      <w:r>
        <w:rPr>
          <w:rFonts w:asciiTheme="majorHAnsi" w:hAnsiTheme="majorHAnsi" w:cs="Times New Roman"/>
          <w:sz w:val="22"/>
          <w:szCs w:val="22"/>
        </w:rPr>
        <w:t>While their population in New Orleans peaked in 1970</w:t>
      </w:r>
      <w:r w:rsidR="00F43B9D">
        <w:rPr>
          <w:rFonts w:asciiTheme="majorHAnsi" w:hAnsiTheme="majorHAnsi" w:cs="Times New Roman"/>
          <w:sz w:val="22"/>
          <w:szCs w:val="22"/>
        </w:rPr>
        <w:t>,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by </w:t>
      </w:r>
      <w:r>
        <w:rPr>
          <w:rFonts w:asciiTheme="majorHAnsi" w:hAnsiTheme="majorHAnsi" w:cs="Times New Roman"/>
          <w:sz w:val="22"/>
          <w:szCs w:val="22"/>
        </w:rPr>
        <w:t xml:space="preserve">2000 the population of Hondurans in New Orleans was estimated at </w:t>
      </w:r>
      <w:r w:rsidRPr="009C4B44">
        <w:rPr>
          <w:rFonts w:asciiTheme="majorHAnsi" w:hAnsiTheme="majorHAnsi" w:cs="Times New Roman"/>
          <w:sz w:val="22"/>
          <w:szCs w:val="22"/>
        </w:rPr>
        <w:t>9.7 percent</w:t>
      </w:r>
      <w:r w:rsidR="009C4B44" w:rsidRPr="009C4B44">
        <w:rPr>
          <w:rFonts w:asciiTheme="majorHAnsi" w:hAnsiTheme="majorHAnsi" w:cs="Times New Roman"/>
          <w:sz w:val="22"/>
          <w:szCs w:val="22"/>
        </w:rPr>
        <w:t>.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="00B808B1" w:rsidRPr="009C4B44">
        <w:rPr>
          <w:rFonts w:asciiTheme="majorHAnsi" w:hAnsiTheme="majorHAnsi" w:cs="Times New Roman"/>
          <w:sz w:val="22"/>
          <w:szCs w:val="22"/>
        </w:rPr>
        <w:t xml:space="preserve">By the time Katrina hit, New Orleans was home to </w:t>
      </w:r>
      <w:r w:rsidR="00B808B1">
        <w:rPr>
          <w:rFonts w:asciiTheme="majorHAnsi" w:hAnsiTheme="majorHAnsi" w:cs="Times New Roman"/>
          <w:sz w:val="22"/>
          <w:szCs w:val="22"/>
        </w:rPr>
        <w:t xml:space="preserve">about 140,000 to 150,000 Hondurans – the </w:t>
      </w:r>
      <w:r w:rsidR="00B808B1" w:rsidRPr="009C4B44">
        <w:rPr>
          <w:rFonts w:asciiTheme="majorHAnsi" w:hAnsiTheme="majorHAnsi" w:cs="Times New Roman"/>
          <w:sz w:val="22"/>
          <w:szCs w:val="22"/>
        </w:rPr>
        <w:t xml:space="preserve">largest Honduran community in the </w:t>
      </w:r>
      <w:r w:rsidR="00B808B1">
        <w:rPr>
          <w:rFonts w:asciiTheme="majorHAnsi" w:hAnsiTheme="majorHAnsi" w:cs="Times New Roman"/>
          <w:sz w:val="22"/>
          <w:szCs w:val="22"/>
        </w:rPr>
        <w:t>country</w:t>
      </w:r>
      <w:r w:rsidR="00B808B1" w:rsidRPr="009C4B44">
        <w:rPr>
          <w:rFonts w:asciiTheme="majorHAnsi" w:hAnsiTheme="majorHAnsi" w:cs="Times New Roman"/>
          <w:sz w:val="22"/>
          <w:szCs w:val="22"/>
        </w:rPr>
        <w:t>.</w:t>
      </w:r>
      <w:r w:rsidR="00B808B1">
        <w:rPr>
          <w:rFonts w:asciiTheme="majorHAnsi" w:hAnsiTheme="majorHAnsi" w:cs="Times New Roman"/>
          <w:sz w:val="22"/>
          <w:szCs w:val="22"/>
        </w:rPr>
        <w:t xml:space="preserve"> </w:t>
      </w:r>
      <w:r w:rsidR="0062307F">
        <w:rPr>
          <w:rFonts w:asciiTheme="majorHAnsi" w:hAnsiTheme="majorHAnsi" w:cs="Times New Roman"/>
          <w:sz w:val="22"/>
          <w:szCs w:val="22"/>
        </w:rPr>
        <w:t>Significant groups of ethnically diverse people included Vietnamese, Peruvian, Brazilian, Jamaican etc</w:t>
      </w:r>
    </w:p>
    <w:p w14:paraId="518CAD5B" w14:textId="07AADF95" w:rsidR="0062307F" w:rsidRDefault="00D23C72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Despite this</w:t>
      </w:r>
      <w:r w:rsidR="0062307F">
        <w:rPr>
          <w:rFonts w:asciiTheme="majorHAnsi" w:hAnsiTheme="majorHAnsi" w:cs="Times New Roman"/>
          <w:sz w:val="22"/>
          <w:szCs w:val="22"/>
        </w:rPr>
        <w:t xml:space="preserve"> strong presence</w:t>
      </w:r>
      <w:r>
        <w:rPr>
          <w:rFonts w:asciiTheme="majorHAnsi" w:hAnsiTheme="majorHAnsi" w:cs="Times New Roman"/>
          <w:sz w:val="22"/>
          <w:szCs w:val="22"/>
        </w:rPr>
        <w:t xml:space="preserve">, </w:t>
      </w:r>
      <w:r w:rsidR="00F43B9D">
        <w:rPr>
          <w:rFonts w:asciiTheme="majorHAnsi" w:hAnsiTheme="majorHAnsi" w:cs="Times New Roman"/>
          <w:sz w:val="22"/>
          <w:szCs w:val="22"/>
        </w:rPr>
        <w:t xml:space="preserve">there was very little attention to the </w:t>
      </w:r>
      <w:r w:rsidR="0062307F">
        <w:rPr>
          <w:rFonts w:asciiTheme="majorHAnsi" w:hAnsiTheme="majorHAnsi" w:cs="Times New Roman"/>
          <w:sz w:val="22"/>
          <w:szCs w:val="22"/>
        </w:rPr>
        <w:t xml:space="preserve">needs of non-citizens throughout the emergency – mirroring a generalized lack of attention to the needs of marginalized communities. No </w:t>
      </w:r>
      <w:r w:rsidR="007635BB">
        <w:rPr>
          <w:rFonts w:asciiTheme="majorHAnsi" w:hAnsiTheme="majorHAnsi" w:cs="Times New Roman"/>
          <w:sz w:val="22"/>
          <w:szCs w:val="22"/>
        </w:rPr>
        <w:t xml:space="preserve">official </w:t>
      </w:r>
      <w:r w:rsidR="0062307F">
        <w:rPr>
          <w:rFonts w:asciiTheme="majorHAnsi" w:hAnsiTheme="majorHAnsi" w:cs="Times New Roman"/>
          <w:sz w:val="22"/>
          <w:szCs w:val="22"/>
        </w:rPr>
        <w:t xml:space="preserve">early warning and very little emergency information was provided in Spanish, Vietnamese or Portuguese, </w:t>
      </w:r>
      <w:r w:rsidR="007635BB">
        <w:rPr>
          <w:rFonts w:asciiTheme="majorHAnsi" w:hAnsiTheme="majorHAnsi" w:cs="Times New Roman"/>
          <w:sz w:val="22"/>
          <w:szCs w:val="22"/>
        </w:rPr>
        <w:t>with</w:t>
      </w:r>
      <w:r w:rsidR="0062307F">
        <w:rPr>
          <w:rFonts w:asciiTheme="majorHAnsi" w:hAnsiTheme="majorHAnsi" w:cs="Times New Roman"/>
          <w:sz w:val="22"/>
          <w:szCs w:val="22"/>
        </w:rPr>
        <w:t xml:space="preserve"> only a private Spanish-</w:t>
      </w:r>
      <w:r w:rsidR="007635BB">
        <w:rPr>
          <w:rFonts w:asciiTheme="majorHAnsi" w:hAnsiTheme="majorHAnsi" w:cs="Times New Roman"/>
          <w:sz w:val="22"/>
          <w:szCs w:val="22"/>
        </w:rPr>
        <w:t>language radio broadcasting</w:t>
      </w:r>
      <w:r w:rsidR="0062307F">
        <w:rPr>
          <w:rFonts w:asciiTheme="majorHAnsi" w:hAnsiTheme="majorHAnsi" w:cs="Times New Roman"/>
          <w:sz w:val="22"/>
          <w:szCs w:val="22"/>
        </w:rPr>
        <w:t xml:space="preserve"> information </w:t>
      </w:r>
      <w:r w:rsidR="007635BB">
        <w:rPr>
          <w:rFonts w:asciiTheme="majorHAnsi" w:hAnsiTheme="majorHAnsi" w:cs="Times New Roman"/>
          <w:sz w:val="22"/>
          <w:szCs w:val="22"/>
        </w:rPr>
        <w:t xml:space="preserve">accessible </w:t>
      </w:r>
      <w:r w:rsidR="0062307F">
        <w:rPr>
          <w:rFonts w:asciiTheme="majorHAnsi" w:hAnsiTheme="majorHAnsi" w:cs="Times New Roman"/>
          <w:sz w:val="22"/>
          <w:szCs w:val="22"/>
        </w:rPr>
        <w:t xml:space="preserve">to </w:t>
      </w:r>
      <w:r w:rsidR="007635BB">
        <w:rPr>
          <w:rFonts w:asciiTheme="majorHAnsi" w:hAnsiTheme="majorHAnsi" w:cs="Times New Roman"/>
          <w:sz w:val="22"/>
          <w:szCs w:val="22"/>
        </w:rPr>
        <w:t xml:space="preserve">Latino communities – and only until Katrina made landfall. </w:t>
      </w:r>
      <w:r w:rsidR="005E17D1">
        <w:rPr>
          <w:rFonts w:asciiTheme="majorHAnsi" w:hAnsiTheme="majorHAnsi" w:cs="Times New Roman"/>
          <w:sz w:val="22"/>
          <w:szCs w:val="22"/>
        </w:rPr>
        <w:t>This only strengthened trust issues these communities had vis-a-vis public authorities, and contributed to their reduced access to assistance.</w:t>
      </w:r>
    </w:p>
    <w:p w14:paraId="743690C9" w14:textId="53280B08" w:rsidR="00422315" w:rsidRDefault="00422315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 xml:space="preserve">In the weeks following the storm </w:t>
      </w:r>
      <w:r w:rsidRPr="009C4B44">
        <w:rPr>
          <w:rFonts w:asciiTheme="majorHAnsi" w:hAnsiTheme="majorHAnsi" w:cs="Times New Roman"/>
          <w:sz w:val="22"/>
          <w:szCs w:val="22"/>
        </w:rPr>
        <w:t xml:space="preserve">Latino immigrants </w:t>
      </w:r>
      <w:r>
        <w:rPr>
          <w:rFonts w:asciiTheme="majorHAnsi" w:hAnsiTheme="majorHAnsi" w:cs="Times New Roman"/>
          <w:sz w:val="22"/>
          <w:szCs w:val="22"/>
        </w:rPr>
        <w:t>took up jobs in the construction sector with the prospect of significant employment opportunities. It was reported that about a quarter of the construction workers rebuilding New Orleans are newly arrived, undocumented immigrants. Not only were 45% of workers they interviewed Hispanic but at least two thirds of them arrived after the Hurricane struck - however 87 percent of them were already in the US at that time. The number of new workers alone doubled the percentage of Hispanics in the city to about 8 percent (not including family members).</w:t>
      </w:r>
    </w:p>
    <w:p w14:paraId="58D52DB8" w14:textId="6C1D4846" w:rsidR="00B808B1" w:rsidRDefault="00422315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This movement was facilitated by a</w:t>
      </w:r>
      <w:r w:rsidR="009C4B44" w:rsidRPr="009C4B44">
        <w:rPr>
          <w:rFonts w:asciiTheme="majorHAnsi" w:hAnsiTheme="majorHAnsi" w:cs="Times New Roman"/>
          <w:sz w:val="22"/>
          <w:szCs w:val="22"/>
        </w:rPr>
        <w:t>n emergency federal decree</w:t>
      </w:r>
      <w:r>
        <w:rPr>
          <w:rFonts w:asciiTheme="majorHAnsi" w:hAnsiTheme="majorHAnsi" w:cs="Times New Roman"/>
          <w:sz w:val="22"/>
          <w:szCs w:val="22"/>
        </w:rPr>
        <w:t xml:space="preserve"> which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 </w:t>
      </w:r>
      <w:r w:rsidR="00B808B1">
        <w:rPr>
          <w:rFonts w:asciiTheme="majorHAnsi" w:hAnsiTheme="majorHAnsi" w:cs="Times New Roman"/>
          <w:sz w:val="22"/>
          <w:szCs w:val="22"/>
        </w:rPr>
        <w:t>temporarily suspended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 immi</w:t>
      </w:r>
      <w:r w:rsidR="00B808B1">
        <w:rPr>
          <w:rFonts w:asciiTheme="majorHAnsi" w:hAnsiTheme="majorHAnsi" w:cs="Times New Roman"/>
          <w:sz w:val="22"/>
          <w:szCs w:val="22"/>
        </w:rPr>
        <w:t xml:space="preserve">gration-enforcement sanctions. </w:t>
      </w:r>
      <w:r w:rsidR="007635BB">
        <w:rPr>
          <w:rFonts w:asciiTheme="majorHAnsi" w:hAnsiTheme="majorHAnsi" w:cs="Times New Roman"/>
          <w:sz w:val="22"/>
          <w:szCs w:val="22"/>
        </w:rPr>
        <w:t xml:space="preserve">However, </w:t>
      </w:r>
      <w:r w:rsidR="009C4B44" w:rsidRPr="009C4B44">
        <w:rPr>
          <w:rFonts w:asciiTheme="majorHAnsi" w:hAnsiTheme="majorHAnsi" w:cs="Times New Roman"/>
          <w:sz w:val="22"/>
          <w:szCs w:val="22"/>
        </w:rPr>
        <w:t xml:space="preserve">President Bush </w:t>
      </w:r>
      <w:r w:rsidR="007635BB">
        <w:rPr>
          <w:rFonts w:asciiTheme="majorHAnsi" w:hAnsiTheme="majorHAnsi" w:cs="Times New Roman"/>
          <w:sz w:val="22"/>
          <w:szCs w:val="22"/>
        </w:rPr>
        <w:t xml:space="preserve">also </w:t>
      </w:r>
      <w:r w:rsidR="009C4B44" w:rsidRPr="009C4B44">
        <w:rPr>
          <w:rFonts w:asciiTheme="majorHAnsi" w:hAnsiTheme="majorHAnsi" w:cs="Times New Roman"/>
          <w:sz w:val="22"/>
          <w:szCs w:val="22"/>
        </w:rPr>
        <w:t>temporarily</w:t>
      </w:r>
      <w:r w:rsidR="00B808B1">
        <w:rPr>
          <w:rFonts w:asciiTheme="majorHAnsi" w:hAnsiTheme="majorHAnsi" w:cs="Times New Roman"/>
          <w:sz w:val="22"/>
          <w:szCs w:val="22"/>
        </w:rPr>
        <w:t xml:space="preserve"> suspended the Davis-Bacon Act that </w:t>
      </w:r>
      <w:r w:rsidR="009C4B44" w:rsidRPr="009C4B44">
        <w:rPr>
          <w:rFonts w:asciiTheme="majorHAnsi" w:hAnsiTheme="majorHAnsi" w:cs="Times New Roman"/>
          <w:sz w:val="22"/>
          <w:szCs w:val="22"/>
        </w:rPr>
        <w:t>guarantees construction workers the prevailing local wage when paid with federal money.</w:t>
      </w:r>
      <w:r>
        <w:rPr>
          <w:rFonts w:asciiTheme="majorHAnsi" w:hAnsiTheme="majorHAnsi" w:cs="Times New Roman"/>
          <w:sz w:val="22"/>
          <w:szCs w:val="22"/>
        </w:rPr>
        <w:t xml:space="preserve"> </w:t>
      </w:r>
      <w:r w:rsidR="00B808B1">
        <w:rPr>
          <w:rFonts w:asciiTheme="majorHAnsi" w:hAnsiTheme="majorHAnsi" w:cs="Times New Roman"/>
          <w:sz w:val="22"/>
          <w:szCs w:val="22"/>
        </w:rPr>
        <w:t>Research on Hispanic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 laborers </w:t>
      </w:r>
      <w:r w:rsidR="00B808B1">
        <w:rPr>
          <w:rFonts w:asciiTheme="majorHAnsi" w:hAnsiTheme="majorHAnsi" w:cs="Times New Roman"/>
          <w:sz w:val="22"/>
          <w:szCs w:val="22"/>
        </w:rPr>
        <w:t>in the recovery and rehabilitation of New Orleans has demonstrated that workers often were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 </w:t>
      </w:r>
      <w:r w:rsidR="00B808B1">
        <w:rPr>
          <w:rFonts w:asciiTheme="majorHAnsi" w:hAnsiTheme="majorHAnsi" w:cs="Times New Roman"/>
          <w:sz w:val="22"/>
          <w:szCs w:val="22"/>
        </w:rPr>
        <w:t xml:space="preserve">exposed to hazardous substances and had </w:t>
      </w:r>
      <w:r w:rsidR="00B808B1" w:rsidRPr="00B808B1">
        <w:rPr>
          <w:rFonts w:asciiTheme="majorHAnsi" w:hAnsiTheme="majorHAnsi" w:cs="Times New Roman"/>
          <w:sz w:val="22"/>
          <w:szCs w:val="22"/>
        </w:rPr>
        <w:t>inadequate safety gear</w:t>
      </w:r>
      <w:r w:rsidR="00B808B1">
        <w:rPr>
          <w:rFonts w:asciiTheme="majorHAnsi" w:hAnsiTheme="majorHAnsi" w:cs="Times New Roman"/>
          <w:sz w:val="22"/>
          <w:szCs w:val="22"/>
        </w:rPr>
        <w:t xml:space="preserve">. They continued to work under the fear that 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lodging complaints </w:t>
      </w:r>
      <w:r w:rsidR="005E17D1">
        <w:rPr>
          <w:rFonts w:asciiTheme="majorHAnsi" w:hAnsiTheme="majorHAnsi" w:cs="Times New Roman"/>
          <w:sz w:val="22"/>
          <w:szCs w:val="22"/>
        </w:rPr>
        <w:t xml:space="preserve">would </w:t>
      </w:r>
      <w:r w:rsidR="005E17D1">
        <w:rPr>
          <w:rFonts w:asciiTheme="majorHAnsi" w:hAnsiTheme="majorHAnsi" w:cs="Times New Roman"/>
          <w:sz w:val="22"/>
          <w:szCs w:val="22"/>
        </w:rPr>
        <w:lastRenderedPageBreak/>
        <w:t>result in</w:t>
      </w:r>
      <w:r w:rsidR="00B808B1">
        <w:rPr>
          <w:rFonts w:asciiTheme="majorHAnsi" w:hAnsiTheme="majorHAnsi" w:cs="Times New Roman"/>
          <w:sz w:val="22"/>
          <w:szCs w:val="22"/>
        </w:rPr>
        <w:t xml:space="preserve"> the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 termination </w:t>
      </w:r>
      <w:r w:rsidR="00B808B1">
        <w:rPr>
          <w:rFonts w:asciiTheme="majorHAnsi" w:hAnsiTheme="majorHAnsi" w:cs="Times New Roman"/>
          <w:sz w:val="22"/>
          <w:szCs w:val="22"/>
        </w:rPr>
        <w:t xml:space="preserve">of their contracts 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and </w:t>
      </w:r>
      <w:r w:rsidR="00B808B1">
        <w:rPr>
          <w:rFonts w:asciiTheme="majorHAnsi" w:hAnsiTheme="majorHAnsi" w:cs="Times New Roman"/>
          <w:sz w:val="22"/>
          <w:szCs w:val="22"/>
        </w:rPr>
        <w:t xml:space="preserve">the </w:t>
      </w:r>
      <w:r w:rsidR="00B808B1" w:rsidRPr="00B808B1">
        <w:rPr>
          <w:rFonts w:asciiTheme="majorHAnsi" w:hAnsiTheme="majorHAnsi" w:cs="Times New Roman"/>
          <w:sz w:val="22"/>
          <w:szCs w:val="22"/>
        </w:rPr>
        <w:t>withholding of</w:t>
      </w:r>
      <w:r w:rsidR="00B808B1">
        <w:rPr>
          <w:rFonts w:asciiTheme="majorHAnsi" w:hAnsiTheme="majorHAnsi" w:cs="Times New Roman"/>
          <w:sz w:val="22"/>
          <w:szCs w:val="22"/>
        </w:rPr>
        <w:t xml:space="preserve"> their wages. L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anguage barriers </w:t>
      </w:r>
      <w:r w:rsidR="00B808B1">
        <w:rPr>
          <w:rFonts w:asciiTheme="majorHAnsi" w:hAnsiTheme="majorHAnsi" w:cs="Times New Roman"/>
          <w:sz w:val="22"/>
          <w:szCs w:val="22"/>
        </w:rPr>
        <w:t xml:space="preserve">also </w:t>
      </w:r>
      <w:r w:rsidR="00B808B1" w:rsidRPr="00B808B1">
        <w:rPr>
          <w:rFonts w:asciiTheme="majorHAnsi" w:hAnsiTheme="majorHAnsi" w:cs="Times New Roman"/>
          <w:sz w:val="22"/>
          <w:szCs w:val="22"/>
        </w:rPr>
        <w:t xml:space="preserve">contributed to </w:t>
      </w:r>
      <w:r w:rsidR="005E17D1">
        <w:rPr>
          <w:rFonts w:asciiTheme="majorHAnsi" w:hAnsiTheme="majorHAnsi" w:cs="Times New Roman"/>
          <w:sz w:val="22"/>
          <w:szCs w:val="22"/>
        </w:rPr>
        <w:t xml:space="preserve">their </w:t>
      </w:r>
      <w:r w:rsidR="00B808B1" w:rsidRPr="00B808B1">
        <w:rPr>
          <w:rFonts w:asciiTheme="majorHAnsi" w:hAnsiTheme="majorHAnsi" w:cs="Times New Roman"/>
          <w:sz w:val="22"/>
          <w:szCs w:val="22"/>
        </w:rPr>
        <w:t>social isolation</w:t>
      </w:r>
      <w:r w:rsidR="00B808B1">
        <w:rPr>
          <w:rFonts w:asciiTheme="majorHAnsi" w:hAnsiTheme="majorHAnsi" w:cs="Times New Roman"/>
          <w:sz w:val="22"/>
          <w:szCs w:val="22"/>
        </w:rPr>
        <w:t xml:space="preserve">. </w:t>
      </w:r>
      <w:r w:rsidR="005E17D1">
        <w:rPr>
          <w:rFonts w:asciiTheme="majorHAnsi" w:hAnsiTheme="majorHAnsi" w:cs="Times New Roman"/>
          <w:sz w:val="22"/>
          <w:szCs w:val="22"/>
        </w:rPr>
        <w:t>These issues resulted in a further disruption of their trust in public authorities.</w:t>
      </w:r>
    </w:p>
    <w:p w14:paraId="10FDD14C" w14:textId="43BEAA9B" w:rsidR="00422315" w:rsidRPr="00676635" w:rsidRDefault="00676635" w:rsidP="00422315">
      <w:pPr>
        <w:pStyle w:val="Heading2"/>
        <w:rPr>
          <w:lang w:val="fr-FR"/>
        </w:rPr>
      </w:pPr>
      <w:r>
        <w:rPr>
          <w:lang w:val="fr-FR"/>
        </w:rPr>
        <w:t>Additional readings</w:t>
      </w:r>
    </w:p>
    <w:p w14:paraId="48E0F760" w14:textId="5C785FBE" w:rsidR="000C5AA3" w:rsidRDefault="000C5AA3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 w:rsidRPr="00676635">
        <w:rPr>
          <w:rFonts w:asciiTheme="majorHAnsi" w:hAnsiTheme="majorHAnsi" w:cs="Times New Roman"/>
          <w:sz w:val="22"/>
          <w:szCs w:val="22"/>
          <w:lang w:val="fr-FR"/>
        </w:rPr>
        <w:t xml:space="preserve">Cordasco, K.M. et al. </w:t>
      </w:r>
      <w:r w:rsidRPr="000C5AA3">
        <w:rPr>
          <w:rFonts w:asciiTheme="majorHAnsi" w:hAnsiTheme="majorHAnsi" w:cs="Times New Roman"/>
          <w:sz w:val="22"/>
          <w:szCs w:val="22"/>
        </w:rPr>
        <w:t>(2007) ‘”They Blew the Levee”: Distrust of Authorities Among Hurricane Katrina Evacuees’. Journal of Health Care for the Poor and Underserved 18(2): 277-282.</w:t>
      </w:r>
    </w:p>
    <w:p w14:paraId="08A50B3C" w14:textId="37E9C867" w:rsidR="000C5AA3" w:rsidRDefault="000C5AA3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 xml:space="preserve">Eaton, L. (2006) ‘Study Sees Increase in Illegal Hispanic Workers in New Orleans’. The New York Times. June 8, 2006. Available at: </w:t>
      </w:r>
      <w:hyperlink r:id="rId7" w:history="1">
        <w:r w:rsidRPr="00A93918">
          <w:rPr>
            <w:rStyle w:val="Hyperlink"/>
            <w:rFonts w:asciiTheme="majorHAnsi" w:hAnsiTheme="majorHAnsi" w:cs="Times New Roman"/>
            <w:sz w:val="22"/>
            <w:szCs w:val="22"/>
          </w:rPr>
          <w:t>http://www.nytimes.com/2006/06/08/us/nationalspecial/08workers.html?_r=0</w:t>
        </w:r>
      </w:hyperlink>
      <w:r>
        <w:rPr>
          <w:rFonts w:asciiTheme="majorHAnsi" w:hAnsiTheme="majorHAnsi" w:cs="Times New Roman"/>
          <w:sz w:val="22"/>
          <w:szCs w:val="22"/>
        </w:rPr>
        <w:t xml:space="preserve"> </w:t>
      </w:r>
    </w:p>
    <w:p w14:paraId="4A85AC16" w14:textId="5181D5AA" w:rsidR="00676635" w:rsidRDefault="00676635" w:rsidP="00676635">
      <w:pPr>
        <w:pStyle w:val="Heading1"/>
        <w:rPr>
          <w:lang w:val="fr-FR"/>
        </w:rPr>
      </w:pPr>
      <w:r>
        <w:rPr>
          <w:lang w:val="fr-FR"/>
        </w:rPr>
        <w:t>Activity</w:t>
      </w:r>
    </w:p>
    <w:p w14:paraId="77B763F0" w14:textId="77777777" w:rsidR="00676635" w:rsidRPr="00676635" w:rsidRDefault="00676635" w:rsidP="00676635">
      <w:pPr>
        <w:rPr>
          <w:lang w:val="fr-FR"/>
        </w:rPr>
      </w:pPr>
    </w:p>
    <w:p w14:paraId="0DDE048D" w14:textId="45678D76" w:rsidR="00676635" w:rsidRDefault="00676635" w:rsidP="00676635">
      <w:r>
        <w:t xml:space="preserve">Based on the information provided above, please highlight what you think were the main reasons that made migrants in New </w:t>
      </w:r>
      <w:r>
        <w:t>Orleands</w:t>
      </w:r>
      <w:r>
        <w:t xml:space="preserve"> particularly vulnerable to the effects of hurricane </w:t>
      </w:r>
      <w:r>
        <w:t>Katrina</w:t>
      </w:r>
      <w:bookmarkStart w:id="0" w:name="_GoBack"/>
      <w:bookmarkEnd w:id="0"/>
      <w:r>
        <w:t xml:space="preserve">. </w:t>
      </w:r>
    </w:p>
    <w:p w14:paraId="19615464" w14:textId="77777777" w:rsidR="00676635" w:rsidRPr="000646F5" w:rsidRDefault="00676635" w:rsidP="00676635">
      <w:r>
        <w:t>Discuss this in the group, then choose a participant who will report to the plenary.</w:t>
      </w:r>
    </w:p>
    <w:p w14:paraId="0547E1C9" w14:textId="77777777" w:rsidR="00B808B1" w:rsidRPr="008668B8" w:rsidRDefault="00B808B1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</w:p>
    <w:p w14:paraId="31AD8BC0" w14:textId="77777777" w:rsidR="00B15E9E" w:rsidRDefault="00B15E9E" w:rsidP="001A0965">
      <w:pPr>
        <w:widowControl w:val="0"/>
        <w:autoSpaceDE w:val="0"/>
        <w:autoSpaceDN w:val="0"/>
        <w:adjustRightInd w:val="0"/>
        <w:spacing w:after="240"/>
        <w:rPr>
          <w:rFonts w:asciiTheme="majorHAnsi" w:hAnsiTheme="majorHAnsi" w:cs="Times New Roman"/>
          <w:sz w:val="22"/>
          <w:szCs w:val="22"/>
        </w:rPr>
      </w:pPr>
    </w:p>
    <w:p w14:paraId="7B0B4C0D" w14:textId="24AA0336" w:rsidR="0043597A" w:rsidRDefault="0043597A" w:rsidP="001A0965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  <w:color w:val="231F20"/>
          <w:sz w:val="22"/>
          <w:szCs w:val="22"/>
        </w:rPr>
      </w:pPr>
    </w:p>
    <w:sectPr w:rsidR="0043597A" w:rsidSect="003B4CA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8682C" w14:textId="77777777" w:rsidR="00997984" w:rsidRDefault="00997984" w:rsidP="009B3DD2">
      <w:r>
        <w:separator/>
      </w:r>
    </w:p>
  </w:endnote>
  <w:endnote w:type="continuationSeparator" w:id="0">
    <w:p w14:paraId="4105AB04" w14:textId="77777777" w:rsidR="00997984" w:rsidRDefault="00997984" w:rsidP="009B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A9306" w14:textId="77777777" w:rsidR="00997984" w:rsidRDefault="00997984" w:rsidP="009B3DD2">
      <w:r>
        <w:separator/>
      </w:r>
    </w:p>
  </w:footnote>
  <w:footnote w:type="continuationSeparator" w:id="0">
    <w:p w14:paraId="4DAF0D30" w14:textId="77777777" w:rsidR="00997984" w:rsidRDefault="00997984" w:rsidP="009B3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901C970"/>
    <w:multiLevelType w:val="hybridMultilevel"/>
    <w:tmpl w:val="C1DB3B5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66C5B9"/>
    <w:multiLevelType w:val="hybridMultilevel"/>
    <w:tmpl w:val="5C71A6C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FD5050E"/>
    <w:multiLevelType w:val="hybridMultilevel"/>
    <w:tmpl w:val="33C417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929D893"/>
    <w:multiLevelType w:val="hybridMultilevel"/>
    <w:tmpl w:val="86C289D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97A"/>
    <w:rsid w:val="000C5AA3"/>
    <w:rsid w:val="001003C7"/>
    <w:rsid w:val="001A0965"/>
    <w:rsid w:val="003B4CA0"/>
    <w:rsid w:val="00422315"/>
    <w:rsid w:val="0043597A"/>
    <w:rsid w:val="00477027"/>
    <w:rsid w:val="004929B8"/>
    <w:rsid w:val="005E17D1"/>
    <w:rsid w:val="0062307F"/>
    <w:rsid w:val="00676635"/>
    <w:rsid w:val="007635BB"/>
    <w:rsid w:val="00825336"/>
    <w:rsid w:val="008668B8"/>
    <w:rsid w:val="00997984"/>
    <w:rsid w:val="009B3DD2"/>
    <w:rsid w:val="009C4B44"/>
    <w:rsid w:val="009C6CE5"/>
    <w:rsid w:val="00B15E9E"/>
    <w:rsid w:val="00B808B1"/>
    <w:rsid w:val="00BF2BFA"/>
    <w:rsid w:val="00D1549F"/>
    <w:rsid w:val="00D23C72"/>
    <w:rsid w:val="00D55D60"/>
    <w:rsid w:val="00ED6DAD"/>
    <w:rsid w:val="00F4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A10B4C"/>
  <w14:defaultImageDpi w14:val="300"/>
  <w15:docId w15:val="{35A7EF64-5B70-4A1B-8317-A202B875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9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3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97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9B3D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DD2"/>
  </w:style>
  <w:style w:type="paragraph" w:styleId="Footer">
    <w:name w:val="footer"/>
    <w:basedOn w:val="Normal"/>
    <w:link w:val="FooterChar"/>
    <w:uiPriority w:val="99"/>
    <w:unhideWhenUsed/>
    <w:rsid w:val="009B3D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DD2"/>
  </w:style>
  <w:style w:type="character" w:styleId="Hyperlink">
    <w:name w:val="Hyperlink"/>
    <w:basedOn w:val="DefaultParagraphFont"/>
    <w:uiPriority w:val="99"/>
    <w:unhideWhenUsed/>
    <w:rsid w:val="000C5AA3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223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5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ytimes.com/2006/06/08/us/nationalspecial/08workers.html?_r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IOM</Company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GUADAGNO Lorenzo</cp:lastModifiedBy>
  <cp:revision>2</cp:revision>
  <dcterms:created xsi:type="dcterms:W3CDTF">2017-01-20T14:06:00Z</dcterms:created>
  <dcterms:modified xsi:type="dcterms:W3CDTF">2017-01-20T14:06:00Z</dcterms:modified>
</cp:coreProperties>
</file>